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utoSpaceDE w:val="0"/>
        <w:spacing w:after="156" w:afterLines="50"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福建师范大学第十六届新生篮球赛</w:t>
      </w:r>
    </w:p>
    <w:p>
      <w:pPr>
        <w:autoSpaceDE w:val="0"/>
        <w:spacing w:after="156" w:afterLines="50" w:line="56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竞</w:t>
      </w:r>
      <w:r>
        <w:rPr>
          <w:rFonts w:hint="eastAsia"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方正小标宋简体" w:hAnsi="方正小标宋简体" w:eastAsia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规程</w:t>
      </w:r>
    </w:p>
    <w:bookmarkEnd w:id="0"/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一、竞赛组织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主办：共青团福建师范大学委员会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承办：福建师范大学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学生会</w:t>
      </w:r>
    </w:p>
    <w:p>
      <w:pPr>
        <w:autoSpaceDE w:val="0"/>
        <w:snapToGrid w:val="0"/>
        <w:spacing w:line="560" w:lineRule="exact"/>
        <w:ind w:firstLine="555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：各学院202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3级新生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篮球队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（除体育科学学院、协和学院）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二、比赛时间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旗山校区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区篮球场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、旗山校区东区篮球场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四、参赛办法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以学院为单位，各参赛队可报运动员最多12名，最少5名，领队1名，教练员1名。各参赛队需提交电子版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报名表（纸质版报名表在赛事联席会当天交给校学生会体育部负责人），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于10月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日下午17:00前发送至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liyaolin04@163.com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李耀林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17759391395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，逾期视为自动放弃。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各学院体育部部长需在1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日前加入第十六届新生篮球赛通知群，QQ群号：9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42790195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学院必须为所有参赛运动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员购买意外保险，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未承保的运动员不得参加比赛。各参赛运动员需签订安全承诺书（附件3），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比赛期间如出现相关问题由各参赛队自行负责。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参赛运动员须是在读的202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级全日制本科学生。各学院须对参赛运动员资格负责，一经发现弄虚作假，立即取消该运动员比赛资格，不得补报。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联席会暂定11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月4日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旗山校区校团委二楼会议室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交纸质材料：（1）参赛队报名表纸质版；（2）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参赛运动员学生证或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校园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卡复印件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；（3）安全承诺书；（4）参赛队员保险购买截图。材料不齐全的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不予报名，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队员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一经报名不得更换。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对运动员资格有异议者，必须提供一定证据的书面报告，否则不予受理。对于冒名顶替参赛，违反规定，弄虚作假者，比赛名次列最后并立即停止之后所有比赛。对于有打默契球情况的队伍，经仲裁委员会裁定，如认为确实违背体育道德，将取消两队比赛资格，名次列最后。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五、竞赛规则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比赛采用中国篮协最新审定的篮球竞赛规则和相关解释。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六、相关细则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时间：男、女子组均采用4×10分钟赛制。每节间休息2分钟，半场休息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不超过5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分钟。男子组前三节除暂停、罚球、特殊情况停表外，其余时间均不停表，第四节最后两分钟及决胜期为实时。第三阶段比赛全场按实时进行。女子组除暂停和特殊情况外，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其余时间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均不停表，比赛最后两分钟为实时。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暂停与替换：上半时可请求2次暂停机会，下半时可请求3次暂停机会，每一决胜期可准许暂停一次。暂停、替换必须由教练或队长向记录台申请，否则予以技术犯规。队长在场上具有唯一发言权，可以与裁判员进行直接对话，提出异议并要求纠正等。但在比赛过程中要绝对服从裁判员，以裁判员的最终判罚为准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男子组采用7号球比赛，女子组采用6号球比赛。（学院自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行准备比赛用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球）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整个赛程（包括小组赛）统一采用单次进攻24秒违例。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犯规：每名队员有5次犯规机会。每节全队犯规达4次后执行罚球。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弃权：比赛开始时，一方队员不足5人时，比赛不得开始，在比赛开球时间15分钟后依然不足5人的，判定该队弃权。其他各种原因中途弃权的，判对方胜。任何弃权队伍均按0:20负于对方。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干扰比赛秩序：对于不尊重裁判、对手的队员视情节严重程度给予停赛处理，并承担由此引发的所有纠纷。违纪情节严重的队伍，取消该队本届比赛资格及名次，并通报学院。 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每场比赛开始前，参赛运动员携带学生证到记录台，资格审查组对参赛运动员进行资格审查。如出现争议，可向仲裁委员会申诉。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、录取名次及奖励办法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按《篮球竞赛规则》中“球队名次排列”办法计取排列各组名次。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．赛制分组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（1）男篮赛制：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赛前分组：男篮总计22支参赛队伍（暂定）,根据去年校新生篮球赛名次，将被分为甲级组与乙级组，甲级组为去年新生篮球赛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旗山校区前七名，仓山校区第一名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学院队伍，乙级组为剩余14支学院队伍。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 乙级分组循环赛：乙级组14支队伍分为四个小组（共四组），采用分组循环赛制，按积分制排定小组名次，每组前两名晋级，总计八支队伍进入下一阶段比赛。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注：分组为4，4，3，3。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 甲级组资格争夺赛：乙级组晋级的8支队伍与甲级组的8支队伍，共16支队伍，抽签分为四组，采用分组循环赛制，按积分制排定小组名次，每组的第一名晋级第三阶段的决赛，每组的第二名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抽签分为两组，两两比赛，每组获胜队伍决5、6名，落败队伍决7、8名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 冠亚季军争夺赛：4支晋级队伍抽签分为两组，两两比赛，每组获胜队伍进入男子冠亚军争夺赛，落败队伍进入男子季殿军争夺赛。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积分制:胜一场得2分，负一场得1分，弃权得0分。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（2）女篮赛制：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第一阶段 分组循环赛：共22支参赛队伍（暂定），抽签分为6个小组（4 4 4 4 3 3），采用分组循环赛制，按照积分制排定小组名次，前两名共12个学院晋级下一阶段比赛。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第二阶段 循环晋级赛：晋级的12支队伍通过抽签分为4组，采用循环赛制，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决赛，每组的第二名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抽签分为两组，两两比赛，每组获胜队伍决5、6名，落败队伍决7、8名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第三阶段 冠亚季军争夺赛：4支晋级队伍分为两组，两两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，每组获胜队伍进入女子冠亚军争夺赛，落败队伍进入女子季殿军争夺赛。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积分制:胜一场得2分，负一场得1分，弃权得0分。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比赛录取前八名，对男女队伍各前8名队伍进行表彰，其中冠军颁发奖杯和奖状；2—8名颁发奖状。比赛还将表彰MVP（最有价值球员）男女各1名，优秀教练员1名，优秀裁判员3名，优秀记录台成员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、优秀工作人员等若干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snapToGrid w:val="0"/>
        <w:spacing w:line="560" w:lineRule="exact"/>
        <w:ind w:left="562"/>
        <w:textAlignment w:val="baseline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各代表队饮用水、医药用品自理。</w:t>
      </w:r>
    </w:p>
    <w:p>
      <w:pPr>
        <w:snapToGrid w:val="0"/>
        <w:spacing w:line="560" w:lineRule="exact"/>
        <w:ind w:firstLine="623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" w:hAnsi="仿宋" w:eastAsia="仿宋"/>
          <w:sz w:val="32"/>
          <w:szCs w:val="32"/>
        </w:rPr>
        <w:t>秩序册对阵表列前的代表队为主队，队员穿浅色球服，球队席在记录台的左侧；列后的代表队为客队，队员穿深色球服，球队席在记录台右侧；主队提前联系客队确定比赛球服颜色，如若未联系，发生颜色类似时，由主队更换球服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/>
          <w:sz w:val="32"/>
          <w:szCs w:val="32"/>
        </w:rPr>
        <w:t>仲裁、技术代表、裁判长和裁判员由组委会统一指派具有国家等级资格的裁判，裁判及记录台工作统一由体育科学学院裁判协会负责。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4.“MVP（最有价值球员）”评选办法以决赛为定。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5.尊重比赛、尊重对手、尊重裁判。赛出风格、赛出水平。希望各代表队认真组织本学院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级学生参赛，并组织好后勤工作及啦啦队。文明比赛、文明助威，充分展现各学院风采。</w:t>
      </w:r>
    </w:p>
    <w:p>
      <w:pPr>
        <w:snapToGrid w:val="0"/>
        <w:spacing w:line="560" w:lineRule="exact"/>
        <w:ind w:firstLine="623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比赛不因球队或选手个人原因延期，如遇雨天等恶劣天气条件或全校性活动，条件允许的情况下移至师大体训馆内继续比赛，否则当日比赛顺延至既定赛程之后，另行通知。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.本规程解释权归</w:t>
      </w:r>
      <w:r>
        <w:rPr>
          <w:rFonts w:hint="eastAsia" w:ascii="仿宋" w:hAnsi="仿宋" w:eastAsia="仿宋"/>
          <w:sz w:val="32"/>
          <w:szCs w:val="32"/>
        </w:rPr>
        <w:t>福建师范大学学生会</w:t>
      </w:r>
      <w:r>
        <w:rPr>
          <w:rFonts w:ascii="仿宋" w:hAnsi="仿宋" w:eastAsia="仿宋"/>
          <w:sz w:val="32"/>
          <w:szCs w:val="32"/>
        </w:rPr>
        <w:t>，未尽事宜，另行通知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utoSpaceDE w:val="0"/>
        <w:snapToGrid w:val="0"/>
        <w:spacing w:line="560" w:lineRule="exact"/>
        <w:textAlignment w:val="baseline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jQyOTJlNmIxZDdkODYyZjA2MjI0NDI1YjcwZWQifQ=="/>
  </w:docVars>
  <w:rsids>
    <w:rsidRoot w:val="466E7D39"/>
    <w:rsid w:val="466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2023-10-20T11:55:00Z</dcterms:created>
  <dc:creator>荪桡</dc:creator>
  <cp:lastModifiedBy>荪桡</cp:lastModifiedBy>
  <dcterms:modified xsi:type="dcterms:W3CDTF">2023-10-20T11:56:48Z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BC4E7C23F1524B27AC5F05B57E2824B2</vt:lpwstr>
  </property>
</Properties>
</file>