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44"/>
          <w:szCs w:val="44"/>
        </w:rPr>
      </w:pPr>
      <w:r>
        <w:rPr>
          <w:rFonts w:hint="eastAsia" w:ascii="黑体" w:hAnsi="黑体" w:eastAsia="黑体"/>
          <w:sz w:val="32"/>
          <w:szCs w:val="32"/>
        </w:rPr>
        <w:t>附件2</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2017年福建省大学生志愿者暑期社会实践</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“青春扶贫”专项行动工作方案</w:t>
      </w:r>
    </w:p>
    <w:p>
      <w:pPr>
        <w:spacing w:line="560" w:lineRule="exact"/>
        <w:rPr>
          <w:rFonts w:ascii="仿宋_GB2312" w:eastAsia="仿宋_GB2312"/>
          <w:sz w:val="32"/>
          <w:szCs w:val="32"/>
        </w:rPr>
      </w:pPr>
    </w:p>
    <w:p>
      <w:pPr>
        <w:adjustRightInd w:val="0"/>
        <w:snapToGrid w:val="0"/>
        <w:spacing w:line="560" w:lineRule="exact"/>
        <w:ind w:firstLine="627" w:firstLineChars="196"/>
        <w:rPr>
          <w:rFonts w:ascii="仿宋_GB2312" w:eastAsia="仿宋_GB2312"/>
          <w:color w:val="000000"/>
          <w:sz w:val="32"/>
          <w:szCs w:val="32"/>
        </w:rPr>
      </w:pPr>
      <w:r>
        <w:rPr>
          <w:rFonts w:hint="eastAsia" w:ascii="仿宋_GB2312" w:eastAsia="仿宋_GB2312"/>
          <w:color w:val="000000"/>
          <w:sz w:val="32"/>
          <w:szCs w:val="32"/>
        </w:rPr>
        <w:t>为深入贯彻落实省委省政府和团中央关于全面推进精准扶贫的决策部署，根据团省委《福建共青团助力脱贫攻坚行动实施方案》，决定开展暑期社会实践“青春扶贫”专项行动，主要工作任务如下。</w:t>
      </w:r>
    </w:p>
    <w:p>
      <w:pPr>
        <w:pStyle w:val="5"/>
        <w:numPr>
          <w:ilvl w:val="0"/>
          <w:numId w:val="1"/>
        </w:numPr>
        <w:adjustRightInd w:val="0"/>
        <w:snapToGrid w:val="0"/>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活动地点</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1．福建省23个省级扶贫开发工作重点县（</w:t>
      </w:r>
      <w:r>
        <w:rPr>
          <w:rFonts w:ascii="仿宋_GB2312" w:eastAsia="仿宋_GB2312"/>
          <w:color w:val="000000"/>
          <w:sz w:val="32"/>
          <w:szCs w:val="32"/>
        </w:rPr>
        <w:t>建宁县、永泰县、清流县、武平县、霞浦县、古田县、明溪县、柘荣县、浦城县、光泽县、诏安县、云霄县、顺昌县、平和县、宁化县、屏南县、周宁县、松溪县、寿宁县、政和县、长汀县、连城县、泰宁县）</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2．宁夏国家扶贫开发工作重点县</w:t>
      </w:r>
    </w:p>
    <w:p>
      <w:pPr>
        <w:pStyle w:val="5"/>
        <w:numPr>
          <w:ilvl w:val="0"/>
          <w:numId w:val="1"/>
        </w:numPr>
        <w:adjustRightInd w:val="0"/>
        <w:snapToGrid w:val="0"/>
        <w:spacing w:line="560" w:lineRule="exact"/>
        <w:ind w:firstLineChars="0"/>
        <w:rPr>
          <w:rFonts w:ascii="黑体" w:hAnsi="黑体" w:eastAsia="黑体"/>
          <w:color w:val="000000"/>
          <w:sz w:val="32"/>
          <w:szCs w:val="32"/>
        </w:rPr>
      </w:pPr>
      <w:r>
        <w:rPr>
          <w:rFonts w:hint="eastAsia" w:ascii="黑体" w:hAnsi="黑体" w:eastAsia="黑体"/>
          <w:color w:val="000000"/>
          <w:sz w:val="32"/>
          <w:szCs w:val="32"/>
        </w:rPr>
        <w:t>活动内容</w:t>
      </w:r>
    </w:p>
    <w:p>
      <w:pPr>
        <w:adjustRightInd w:val="0"/>
        <w:snapToGrid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1．摸底动员，返乡实践。</w:t>
      </w:r>
      <w:r>
        <w:rPr>
          <w:rFonts w:hint="eastAsia" w:ascii="仿宋_GB2312" w:eastAsia="仿宋_GB2312"/>
          <w:color w:val="000000"/>
          <w:sz w:val="32"/>
          <w:szCs w:val="32"/>
        </w:rPr>
        <w:t>各学院应进一步梳理扶贫开发工作重点县在校大学生数据，建立信息台账，</w:t>
      </w:r>
      <w:r>
        <w:rPr>
          <w:rFonts w:hint="eastAsia" w:ascii="仿宋_GB2312" w:eastAsia="仿宋_GB2312"/>
          <w:sz w:val="32"/>
          <w:szCs w:val="32"/>
        </w:rPr>
        <w:t>按照“就近就便”原则，</w:t>
      </w:r>
      <w:r>
        <w:rPr>
          <w:rFonts w:hint="eastAsia" w:ascii="仿宋_GB2312" w:eastAsia="仿宋_GB2312"/>
          <w:color w:val="000000"/>
          <w:sz w:val="32"/>
          <w:szCs w:val="32"/>
        </w:rPr>
        <w:t>广泛动员，精心组织重点县在校大学生以组队的形式赴家乡开展社会实践。遴选一批优秀团队作为全国级、省级、校级、院系级重点实践团队，给予包括人员、物资、经费等多方面的优先支持。</w:t>
      </w:r>
    </w:p>
    <w:p>
      <w:pPr>
        <w:adjustRightInd w:val="0"/>
        <w:snapToGrid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2．服务需求，全面覆盖。</w:t>
      </w:r>
      <w:r>
        <w:rPr>
          <w:rFonts w:hint="eastAsia" w:ascii="仿宋_GB2312" w:eastAsia="仿宋_GB2312"/>
          <w:color w:val="000000"/>
          <w:sz w:val="32"/>
          <w:szCs w:val="32"/>
        </w:rPr>
        <w:t>针对福建省23个扶贫开发工作重点县的实际需求，各学校结合学科优势和专业特色，主要围绕科技知识普及、村级发展规划、文化艺术合作、农业技术服务、当地资源开发、支教志愿服务等项目，安排专业教师参与指导，为实践队提供知识与技术保障，组织广大在校生团员青年组建实践团队，集中力量开展“青春扶贫”专项行动，要求实践队覆盖23个县。省属高校请按附件2的附表安排组建实践团队前往。鼓励和支持其他高校踊跃组建实践团队到23个重点县开展“青春扶贫”专项行动。</w:t>
      </w:r>
    </w:p>
    <w:p>
      <w:pPr>
        <w:adjustRightInd w:val="0"/>
        <w:snapToGrid w:val="0"/>
        <w:spacing w:line="560" w:lineRule="exact"/>
        <w:ind w:firstLine="627" w:firstLineChars="196"/>
        <w:rPr>
          <w:rFonts w:ascii="仿宋_GB2312" w:eastAsia="仿宋_GB2312"/>
          <w:color w:val="000000"/>
          <w:sz w:val="32"/>
          <w:szCs w:val="32"/>
        </w:rPr>
      </w:pPr>
      <w:r>
        <w:rPr>
          <w:rFonts w:hint="eastAsia" w:ascii="楷体_GB2312" w:eastAsia="楷体_GB2312"/>
          <w:color w:val="000000"/>
          <w:sz w:val="32"/>
          <w:szCs w:val="32"/>
        </w:rPr>
        <w:t>3．思想引领，促进成长。</w:t>
      </w:r>
      <w:r>
        <w:rPr>
          <w:rFonts w:hint="eastAsia" w:ascii="仿宋_GB2312" w:eastAsia="仿宋_GB2312"/>
          <w:color w:val="000000"/>
          <w:sz w:val="32"/>
          <w:szCs w:val="32"/>
        </w:rPr>
        <w:t>坚持把思想政治引领贯穿活动始终，运用青少年喜欢的话语体系、表达方式、时尚元素，在贫困县地区青少年中深入开展党的路线方针政策和扶贫宣教活动，激发他们参与扶贫开发攻坚的热情。采取“项目＋结对＋接力”方式，</w:t>
      </w:r>
      <w:r>
        <w:rPr>
          <w:rFonts w:hint="eastAsia" w:ascii="仿宋_GB2312" w:eastAsia="仿宋_GB2312" w:cs="仿宋_GB2312"/>
          <w:spacing w:val="6"/>
          <w:sz w:val="32"/>
          <w:szCs w:val="32"/>
        </w:rPr>
        <w:t>实施针对农村贫困留守儿童的“牵手关爱行动”，开展学业辅导、亲情陪伴、自护教育、爱心捐赠等关爱活动，注重提高农村贫困青少年自身的发展意识和发展能力，帮助贫困地区青少年健康成长。</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4．服务青年，助力创业。</w:t>
      </w:r>
      <w:r>
        <w:rPr>
          <w:rFonts w:hint="eastAsia" w:ascii="仿宋_GB2312" w:eastAsia="仿宋_GB2312"/>
          <w:color w:val="000000"/>
          <w:sz w:val="32"/>
          <w:szCs w:val="32"/>
        </w:rPr>
        <w:t>开展就业创业培训，各高校应</w:t>
      </w:r>
      <w:r>
        <w:rPr>
          <w:rFonts w:hint="eastAsia" w:ascii="仿宋_GB2312" w:eastAsia="仿宋_GB2312" w:cs="仿宋_GB2312"/>
          <w:spacing w:val="6"/>
          <w:sz w:val="32"/>
          <w:szCs w:val="32"/>
        </w:rPr>
        <w:t>加强与农业、人社、商务等部门合作，依托“互联网＋平台”机制，分层分类对有劳动能力的贫困青年提供技能、电商、创业辅导等培训。</w:t>
      </w:r>
      <w:r>
        <w:rPr>
          <w:rFonts w:hint="eastAsia" w:ascii="仿宋_GB2312" w:eastAsia="仿宋_GB2312"/>
          <w:color w:val="000000"/>
          <w:sz w:val="32"/>
          <w:szCs w:val="32"/>
        </w:rPr>
        <w:t>建设青年就业创业服务中心，各高校应与重点县党委政府对接沟通，合作共建实体化、多功能、线上线下相结合的青年就业创业服务中心，提供信息对接、订单培训、导师辅导、产品上线等方面的服务。</w:t>
      </w:r>
    </w:p>
    <w:p>
      <w:pPr>
        <w:spacing w:line="560" w:lineRule="exact"/>
        <w:ind w:firstLine="640" w:firstLineChars="200"/>
        <w:rPr>
          <w:rFonts w:ascii="仿宋_GB2312" w:eastAsia="仿宋_GB2312"/>
          <w:spacing w:val="6"/>
          <w:sz w:val="32"/>
          <w:szCs w:val="32"/>
        </w:rPr>
      </w:pPr>
      <w:r>
        <w:rPr>
          <w:rFonts w:hint="eastAsia" w:ascii="楷体_GB2312" w:eastAsia="楷体_GB2312"/>
          <w:color w:val="000000"/>
          <w:sz w:val="32"/>
          <w:szCs w:val="32"/>
        </w:rPr>
        <w:t>5．精准帮扶，志愿结对。</w:t>
      </w:r>
      <w:r>
        <w:rPr>
          <w:rFonts w:hint="eastAsia" w:ascii="仿宋_GB2312" w:eastAsia="仿宋_GB2312"/>
          <w:color w:val="000000"/>
          <w:sz w:val="32"/>
          <w:szCs w:val="32"/>
        </w:rPr>
        <w:t>在暑期社会实践的基础上，各高校发挥学科、专业、人才等资源优势，根据各重点县的需求，志愿与相应重点县结成对子，引导专家学者定期或不定期深入重点县开展合作，促进科研成果落地转化；成立青年科技人才服务队，以线上线下相结合的方式，提供在线咨询、政策解读、技术指导等专业服务，从而实现精准帮扶，形成长效的结对帮扶机制。</w:t>
      </w:r>
    </w:p>
    <w:p>
      <w:pPr>
        <w:adjustRightInd w:val="0"/>
        <w:snapToGrid w:val="0"/>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6．闽宁协作，携手小康。</w:t>
      </w:r>
      <w:r>
        <w:rPr>
          <w:rFonts w:hint="eastAsia" w:ascii="仿宋_GB2312" w:eastAsia="仿宋_GB2312"/>
          <w:color w:val="000000"/>
          <w:sz w:val="32"/>
          <w:szCs w:val="32"/>
        </w:rPr>
        <w:t>深入推进闽宁共青团系统脱贫攻坚对口支援帮扶项目，切实增强东西部扶贫协作和对口支援的责任感使命感，按照“优势互补、互惠互利、长期协作、共同发展”的指导原则，加强闽宁对口扶贫协作，共同推动“一带一路”建设，继续开展闽宁大学生精准扶贫暑期社会实践活动，闽宁高校互派50名大学生开展精准扶贫暑期社会实践活动。面向重点高校招募3支实践团队，每支实践团队规模10-15人，由专业教师、本硕博学生组成，约50人赴宁夏国家级贫困县开展实地调研、实际帮扶，助力精准扶贫工作。</w:t>
      </w:r>
    </w:p>
    <w:p>
      <w:pPr>
        <w:spacing w:line="56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7．帮扶泰宁，建设基地。</w:t>
      </w:r>
      <w:r>
        <w:rPr>
          <w:rFonts w:hint="eastAsia" w:ascii="仿宋_GB2312" w:eastAsia="仿宋_GB2312"/>
          <w:color w:val="000000"/>
          <w:sz w:val="32"/>
          <w:szCs w:val="32"/>
        </w:rPr>
        <w:t>以加快推进我省国家生态文明试验区建设为契机，帮扶泰宁县建设全域化写生基地。</w:t>
      </w:r>
      <w:r>
        <w:rPr>
          <w:rFonts w:hint="eastAsia" w:ascii="仿宋_GB2312" w:hAnsi="仿宋_GB2312" w:eastAsia="仿宋_GB2312" w:cs="仿宋_GB2312"/>
          <w:sz w:val="32"/>
          <w:szCs w:val="32"/>
        </w:rPr>
        <w:t>要求省属高校美术艺术等相关专业的院系或班级团支部与泰宁县9个乡镇开展挂钩结对活动，鼓励省内其他高校组织相关专业学生赴泰宁开展写生实践活动，共同推动写生实践基地建设。团省委将单列省级暑期“三下乡”社会实践优秀团队，支持省内高校前往泰宁开展社会实践活动；协调省教育厅，推动在泰宁县全域化写生基地挂牌成立大学生社会实践基地。暑期“三下乡”社会实践活动结束后，将集中各校各乡镇写生作品，举办泰宁写生大赛和优秀写生作品巡展活动。通过线上线下渠道，广泛展示泰宁的秀美风景，吸引全国各地高校、写生团队、艺术机构前来泰宁开展活动。泰宁团县委联系人：林友丽，联系电话：</w:t>
      </w:r>
      <w:r>
        <w:rPr>
          <w:rFonts w:ascii="仿宋_GB2312" w:hAnsi="仿宋_GB2312" w:eastAsia="仿宋_GB2312" w:cs="仿宋_GB2312"/>
          <w:sz w:val="32"/>
          <w:szCs w:val="32"/>
        </w:rPr>
        <w:t>0598-7832097、13799158082。</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各地、各学校要将“青春扶贫”专项行动列为2017年大中专学生志愿者暑期“三下乡”社会实践活动的重点工作，在人力、经费、物资上予以重点保障。团省委将根据实践队的实际情况，在评奖评优上优先考虑。请按照以上工作任务，逐一落实，加强工作督导，确保取得实效。</w:t>
      </w:r>
    </w:p>
    <w:p>
      <w:pPr>
        <w:spacing w:line="520" w:lineRule="exact"/>
        <w:ind w:firstLine="665" w:firstLineChars="208"/>
        <w:rPr>
          <w:rFonts w:ascii="楷体_GB2312" w:eastAsia="楷体_GB2312"/>
          <w:color w:val="000000"/>
          <w:sz w:val="32"/>
          <w:szCs w:val="32"/>
        </w:rPr>
      </w:pPr>
    </w:p>
    <w:p>
      <w:pPr>
        <w:spacing w:line="520" w:lineRule="exact"/>
        <w:ind w:left="1944" w:leftChars="316" w:hanging="1280" w:hangingChars="400"/>
        <w:rPr>
          <w:rFonts w:ascii="仿宋_GB2312" w:eastAsia="仿宋_GB2312"/>
          <w:color w:val="000000"/>
          <w:sz w:val="32"/>
          <w:szCs w:val="32"/>
        </w:rPr>
      </w:pPr>
      <w:r>
        <w:rPr>
          <w:rFonts w:hint="eastAsia" w:ascii="仿宋_GB2312" w:eastAsia="仿宋_GB2312"/>
          <w:color w:val="000000"/>
          <w:sz w:val="32"/>
          <w:szCs w:val="32"/>
        </w:rPr>
        <w:t>附表：省属高校与23个扶贫开发工作重点县对接表</w:t>
      </w:r>
    </w:p>
    <w:p>
      <w:pPr>
        <w:spacing w:line="520" w:lineRule="exact"/>
        <w:ind w:firstLine="630"/>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附表</w:t>
      </w:r>
    </w:p>
    <w:p>
      <w:pPr>
        <w:autoSpaceDE w:val="0"/>
        <w:autoSpaceDN w:val="0"/>
        <w:adjustRightInd w:val="0"/>
        <w:snapToGrid w:val="0"/>
        <w:spacing w:line="560" w:lineRule="exact"/>
        <w:rPr>
          <w:rFonts w:ascii="黑体" w:hAnsi="黑体" w:eastAsia="黑体"/>
          <w:sz w:val="32"/>
          <w:szCs w:val="32"/>
        </w:rPr>
      </w:pPr>
    </w:p>
    <w:p>
      <w:pPr>
        <w:autoSpaceDE w:val="0"/>
        <w:autoSpaceDN w:val="0"/>
        <w:adjustRightInd w:val="0"/>
        <w:snapToGrid w:val="0"/>
        <w:spacing w:line="560" w:lineRule="exact"/>
        <w:jc w:val="center"/>
        <w:rPr>
          <w:rFonts w:ascii="方正小标宋简体" w:hAnsi="方正小标宋简体" w:eastAsia="方正小标宋简体" w:cs="方正小标宋简体"/>
          <w:color w:val="000000"/>
          <w:sz w:val="36"/>
          <w:szCs w:val="36"/>
          <w:lang w:val="zh-CN"/>
        </w:rPr>
      </w:pPr>
      <w:r>
        <w:rPr>
          <w:rFonts w:hint="eastAsia" w:ascii="方正小标宋简体" w:hAnsi="方正小标宋简体" w:eastAsia="方正小标宋简体" w:cs="方正小标宋简体"/>
          <w:color w:val="000000"/>
          <w:sz w:val="36"/>
          <w:szCs w:val="36"/>
          <w:lang w:val="zh-CN"/>
        </w:rPr>
        <w:t>省属高校与23个扶贫开发工作重点县对接表</w:t>
      </w:r>
    </w:p>
    <w:tbl>
      <w:tblPr>
        <w:tblStyle w:val="4"/>
        <w:tblW w:w="8052"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417"/>
        <w:gridCol w:w="1712"/>
        <w:gridCol w:w="29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tcPr>
          <w:p>
            <w:pPr>
              <w:widowControl/>
              <w:jc w:val="center"/>
              <w:rPr>
                <w:rFonts w:ascii="仿宋_GB2312" w:hAnsi="Courier New" w:eastAsia="仿宋_GB2312" w:cs="Courier New"/>
                <w:b/>
                <w:bCs/>
                <w:color w:val="000000"/>
                <w:kern w:val="0"/>
                <w:sz w:val="24"/>
              </w:rPr>
            </w:pPr>
            <w:r>
              <w:rPr>
                <w:rFonts w:hint="eastAsia" w:ascii="仿宋_GB2312" w:hAnsi="Courier New" w:eastAsia="仿宋_GB2312" w:cs="Courier New"/>
                <w:b/>
                <w:bCs/>
                <w:color w:val="000000"/>
                <w:kern w:val="0"/>
                <w:sz w:val="24"/>
              </w:rPr>
              <w:t>高校</w:t>
            </w:r>
          </w:p>
        </w:tc>
        <w:tc>
          <w:tcPr>
            <w:tcW w:w="1712" w:type="dxa"/>
          </w:tcPr>
          <w:p>
            <w:pPr>
              <w:widowControl/>
              <w:jc w:val="center"/>
              <w:rPr>
                <w:rFonts w:ascii="仿宋_GB2312" w:hAnsi="Courier New" w:eastAsia="仿宋_GB2312" w:cs="Courier New"/>
                <w:b/>
                <w:bCs/>
                <w:color w:val="000000"/>
                <w:kern w:val="0"/>
                <w:sz w:val="24"/>
              </w:rPr>
            </w:pPr>
            <w:r>
              <w:rPr>
                <w:rFonts w:ascii="仿宋_GB2312" w:hAnsi="Courier New" w:eastAsia="仿宋_GB2312" w:cs="Courier New"/>
                <w:b/>
                <w:bCs/>
                <w:color w:val="000000"/>
                <w:kern w:val="0"/>
                <w:sz w:val="24"/>
              </w:rPr>
              <w:t>重点县</w:t>
            </w:r>
          </w:p>
        </w:tc>
        <w:tc>
          <w:tcPr>
            <w:tcW w:w="2923" w:type="dxa"/>
          </w:tcPr>
          <w:p>
            <w:pPr>
              <w:widowControl/>
              <w:jc w:val="center"/>
              <w:rPr>
                <w:rFonts w:ascii="仿宋_GB2312" w:hAnsi="Courier New" w:eastAsia="仿宋_GB2312" w:cs="Courier New"/>
                <w:b/>
                <w:bCs/>
                <w:color w:val="000000"/>
                <w:kern w:val="0"/>
                <w:sz w:val="24"/>
              </w:rPr>
            </w:pPr>
            <w:r>
              <w:rPr>
                <w:rFonts w:ascii="仿宋_GB2312" w:hAnsi="Courier New" w:eastAsia="仿宋_GB2312" w:cs="Courier New"/>
                <w:b/>
                <w:bCs/>
                <w:color w:val="000000"/>
                <w:kern w:val="0"/>
                <w:sz w:val="24"/>
              </w:rPr>
              <w:t>重点县团委联系人、电话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厦门大学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建宁县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黄梅香、18259769949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华侨大学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顺昌县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李  强、15860980852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福州大学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屏南县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陈路泰、18033908037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福建师范大学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松溪县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艾桂梅、18950659177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福建农林大学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寿宁县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陈春丽、18950462720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福建医科大学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武平县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赖丽花、15059902975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福建中医药大学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柘荣县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耿</w:t>
            </w:r>
            <w:r>
              <w:rPr>
                <w:rFonts w:hint="eastAsia" w:ascii="仿宋_GB2312"/>
                <w:color w:val="000000"/>
                <w:sz w:val="24"/>
              </w:rPr>
              <w:t>旸</w:t>
            </w:r>
            <w:r>
              <w:rPr>
                <w:rFonts w:hint="eastAsia" w:ascii="仿宋_GB2312" w:eastAsia="仿宋_GB2312"/>
                <w:color w:val="000000"/>
                <w:sz w:val="24"/>
              </w:rPr>
              <w:t>宇、17306038381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集美大学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长汀县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周楚秦、15059946900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闽南师范大学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云霄县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吴金生、13860861816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福建工程学院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古田县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李  涛、18606917108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福建江夏学院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光泽县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韩  盛、15259941383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仰恩大学</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清流县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田  炜、13385096958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福建商学院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永泰县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柯郑璐、18606078655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福建幼儿师范高等专科学校</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诏安县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傅志忠、18030380775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福建船政交通职业学院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霞浦县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谢雅楠、17759371527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福建信息职业技术学院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平和县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赖逸冰、18859636688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福建农业职业技术学院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连城县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 xml:space="preserve">罗  </w:t>
            </w:r>
            <w:r>
              <w:rPr>
                <w:rFonts w:hint="eastAsia" w:ascii="仿宋_GB2312"/>
                <w:color w:val="000000"/>
                <w:sz w:val="24"/>
              </w:rPr>
              <w:t>焜</w:t>
            </w:r>
            <w:r>
              <w:rPr>
                <w:rFonts w:hint="eastAsia" w:ascii="仿宋_GB2312" w:eastAsia="仿宋_GB2312"/>
                <w:color w:val="000000"/>
                <w:sz w:val="24"/>
              </w:rPr>
              <w:t>、17720796800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福建卫生职业技术学院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宁化县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黄丽婷、18859876993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福建对外经济贸易职业技术学院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明溪县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张  媛、15159136723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福建生物工程职业技术学院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政和县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魏  贤、13860011556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　三明学院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泰宁县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林友丽、13799158082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　武夷学院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浦城县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余乃兴、18050385860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40" w:hRule="exact"/>
          <w:jc w:val="center"/>
        </w:trPr>
        <w:tc>
          <w:tcPr>
            <w:tcW w:w="3417"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　宁德师范学院</w:t>
            </w:r>
          </w:p>
        </w:tc>
        <w:tc>
          <w:tcPr>
            <w:tcW w:w="1712"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周宁县</w:t>
            </w:r>
          </w:p>
        </w:tc>
        <w:tc>
          <w:tcPr>
            <w:tcW w:w="2923" w:type="dxa"/>
            <w:vAlign w:val="center"/>
          </w:tcPr>
          <w:p>
            <w:pPr>
              <w:jc w:val="center"/>
              <w:rPr>
                <w:rFonts w:ascii="仿宋_GB2312" w:hAnsi="宋体" w:eastAsia="仿宋_GB2312" w:cs="宋体"/>
                <w:color w:val="000000"/>
                <w:sz w:val="24"/>
              </w:rPr>
            </w:pPr>
            <w:r>
              <w:rPr>
                <w:rFonts w:hint="eastAsia" w:ascii="仿宋_GB2312" w:eastAsia="仿宋_GB2312"/>
                <w:color w:val="000000"/>
                <w:sz w:val="24"/>
              </w:rPr>
              <w:t>吕宇豪、0593-5622108</w:t>
            </w:r>
          </w:p>
        </w:tc>
      </w:tr>
    </w:tbl>
    <w:p>
      <w:pPr>
        <w:spacing w:line="560" w:lineRule="exact"/>
        <w:rPr>
          <w:rFonts w:ascii="仿宋_GB2312" w:hAnsi="Courier New" w:eastAsia="仿宋_GB2312" w:cs="Courier New"/>
          <w:w w:val="95"/>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278EA"/>
    <w:multiLevelType w:val="multilevel"/>
    <w:tmpl w:val="52E278EA"/>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47C0E"/>
    <w:rsid w:val="40D47C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2017-06-26T02:57:00Z</dcterms:created>
  <dc:creator>lenovo</dc:creator>
  <cp:lastModifiedBy>lenovo</cp:lastModifiedBy>
  <dcterms:modified xsi:type="dcterms:W3CDTF">2017-06-26T02:59:04Z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